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5096" w14:textId="77777777" w:rsidR="007D0ACC" w:rsidRDefault="007D0ACC" w:rsidP="00B86A8E">
      <w:pPr>
        <w:spacing w:before="77"/>
        <w:ind w:right="135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5781A40" w14:textId="77777777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7F0D4D9" w14:textId="4E14D111" w:rsidR="005C46C8" w:rsidRPr="00117DA9" w:rsidRDefault="005C46C8" w:rsidP="005C46C8">
      <w:pPr>
        <w:pStyle w:val="Intestazione"/>
        <w:tabs>
          <w:tab w:val="left" w:pos="708"/>
        </w:tabs>
        <w:jc w:val="center"/>
        <w:rPr>
          <w:szCs w:val="24"/>
        </w:rPr>
      </w:pPr>
      <w:r w:rsidRPr="00117DA9">
        <w:rPr>
          <w:noProof/>
          <w:szCs w:val="24"/>
        </w:rPr>
        <w:drawing>
          <wp:inline distT="0" distB="0" distL="0" distR="0" wp14:anchorId="695AB579" wp14:editId="10BD6D3F">
            <wp:extent cx="2771775" cy="676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26644" w14:textId="77777777" w:rsidR="005C46C8" w:rsidRPr="00117DA9" w:rsidRDefault="005C46C8" w:rsidP="005C46C8">
      <w:pPr>
        <w:pStyle w:val="Intestazione"/>
        <w:tabs>
          <w:tab w:val="left" w:pos="708"/>
        </w:tabs>
        <w:jc w:val="both"/>
        <w:rPr>
          <w:b/>
          <w:szCs w:val="24"/>
        </w:rPr>
      </w:pPr>
    </w:p>
    <w:p w14:paraId="3BBA2BF3" w14:textId="77777777" w:rsidR="005C46C8" w:rsidRPr="00117DA9" w:rsidRDefault="005C46C8" w:rsidP="005C46C8">
      <w:pPr>
        <w:pStyle w:val="Intestazione"/>
        <w:tabs>
          <w:tab w:val="left" w:pos="708"/>
        </w:tabs>
        <w:jc w:val="both"/>
        <w:rPr>
          <w:b/>
          <w:szCs w:val="24"/>
        </w:rPr>
      </w:pPr>
    </w:p>
    <w:p w14:paraId="7034DCAB" w14:textId="77777777" w:rsidR="005C46C8" w:rsidRPr="00117DA9" w:rsidRDefault="005C46C8" w:rsidP="005C46C8">
      <w:pPr>
        <w:pStyle w:val="Intestazione"/>
        <w:tabs>
          <w:tab w:val="left" w:pos="708"/>
        </w:tabs>
        <w:jc w:val="both"/>
        <w:rPr>
          <w:b/>
          <w:szCs w:val="24"/>
        </w:rPr>
      </w:pPr>
    </w:p>
    <w:p w14:paraId="370292B1" w14:textId="77777777" w:rsidR="005C46C8" w:rsidRPr="005C46C8" w:rsidRDefault="005C46C8" w:rsidP="005C46C8">
      <w:pPr>
        <w:pStyle w:val="Intestazione"/>
        <w:tabs>
          <w:tab w:val="left" w:pos="708"/>
        </w:tabs>
        <w:jc w:val="center"/>
        <w:rPr>
          <w:b/>
          <w:color w:val="000080"/>
          <w:szCs w:val="24"/>
          <w:lang w:val="it-IT"/>
        </w:rPr>
      </w:pPr>
      <w:r w:rsidRPr="005C46C8">
        <w:rPr>
          <w:b/>
          <w:color w:val="000080"/>
          <w:szCs w:val="24"/>
          <w:lang w:val="it-IT"/>
        </w:rPr>
        <w:t>AREA GOVERNO DEL TERRITORIO</w:t>
      </w:r>
    </w:p>
    <w:p w14:paraId="78C272D4" w14:textId="77777777" w:rsidR="005C46C8" w:rsidRPr="005C46C8" w:rsidRDefault="005C46C8" w:rsidP="005C46C8">
      <w:pPr>
        <w:pStyle w:val="Intestazione"/>
        <w:tabs>
          <w:tab w:val="left" w:pos="708"/>
        </w:tabs>
        <w:jc w:val="center"/>
        <w:rPr>
          <w:b/>
          <w:color w:val="000080"/>
          <w:szCs w:val="24"/>
          <w:lang w:val="it-IT"/>
        </w:rPr>
      </w:pPr>
      <w:r w:rsidRPr="005C46C8">
        <w:rPr>
          <w:b/>
          <w:color w:val="000080"/>
          <w:szCs w:val="24"/>
          <w:lang w:val="it-IT"/>
        </w:rPr>
        <w:t>Servizio Politiche Ambientali</w:t>
      </w:r>
    </w:p>
    <w:p w14:paraId="56BC29BF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b/>
          <w:szCs w:val="24"/>
          <w:lang w:val="it-IT"/>
        </w:rPr>
      </w:pPr>
    </w:p>
    <w:p w14:paraId="0B9A729C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3F2B8591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03AFDCAD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0CB199E4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1469666B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2A8ADF41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2CA385EC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18558940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247F1FEA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3BF8084F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3563904C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47A38608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6759B340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773E8FFD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3626D2C6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0A70C522" w14:textId="77777777" w:rsidR="005C46C8" w:rsidRPr="005C46C8" w:rsidRDefault="005C46C8" w:rsidP="005C46C8">
      <w:pPr>
        <w:pStyle w:val="Intestazione"/>
        <w:tabs>
          <w:tab w:val="left" w:pos="708"/>
        </w:tabs>
        <w:jc w:val="both"/>
        <w:rPr>
          <w:szCs w:val="24"/>
          <w:lang w:val="it-IT"/>
        </w:rPr>
      </w:pPr>
    </w:p>
    <w:p w14:paraId="23475C9B" w14:textId="77777777" w:rsidR="005C46C8" w:rsidRPr="005C46C8" w:rsidRDefault="005C46C8" w:rsidP="005C46C8">
      <w:pPr>
        <w:jc w:val="center"/>
        <w:rPr>
          <w:bCs/>
          <w:iCs/>
          <w:szCs w:val="24"/>
          <w:lang w:val="it-IT"/>
        </w:rPr>
      </w:pPr>
    </w:p>
    <w:p w14:paraId="03B86314" w14:textId="77777777" w:rsidR="005C46C8" w:rsidRPr="005C46C8" w:rsidRDefault="005C46C8" w:rsidP="005C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Cs w:val="24"/>
          <w:lang w:val="it-IT"/>
        </w:rPr>
      </w:pPr>
      <w:bookmarkStart w:id="0" w:name="_Toc32044451"/>
      <w:bookmarkStart w:id="1" w:name="_Toc10267185"/>
      <w:bookmarkStart w:id="2" w:name="_Toc42917417"/>
    </w:p>
    <w:p w14:paraId="53BDB5A7" w14:textId="77777777" w:rsidR="005C46C8" w:rsidRPr="005C46C8" w:rsidRDefault="005C46C8" w:rsidP="005C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Cs w:val="24"/>
          <w:lang w:val="it-IT"/>
        </w:rPr>
      </w:pPr>
    </w:p>
    <w:bookmarkEnd w:id="0"/>
    <w:bookmarkEnd w:id="1"/>
    <w:bookmarkEnd w:id="2"/>
    <w:p w14:paraId="189D32F6" w14:textId="77777777" w:rsidR="005C46C8" w:rsidRDefault="005C46C8" w:rsidP="005C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Cs w:val="24"/>
          <w:lang w:val="it-IT"/>
        </w:rPr>
      </w:pPr>
      <w:r w:rsidRPr="005C46C8">
        <w:rPr>
          <w:b/>
          <w:szCs w:val="24"/>
          <w:lang w:val="it-IT"/>
        </w:rPr>
        <w:t xml:space="preserve">REGOLAMENTO PER L’ACCESSO E L’USO DELLE AREE </w:t>
      </w:r>
    </w:p>
    <w:p w14:paraId="5212F3DC" w14:textId="75970699" w:rsidR="005C46C8" w:rsidRPr="005C46C8" w:rsidRDefault="005C46C8" w:rsidP="005C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Cs w:val="24"/>
          <w:lang w:val="it-IT"/>
        </w:rPr>
      </w:pPr>
      <w:r w:rsidRPr="005C46C8">
        <w:rPr>
          <w:b/>
          <w:szCs w:val="24"/>
          <w:lang w:val="it-IT"/>
        </w:rPr>
        <w:t xml:space="preserve">DI SGAMBATURA CANI </w:t>
      </w:r>
      <w:r w:rsidR="006269E5">
        <w:rPr>
          <w:b/>
          <w:szCs w:val="24"/>
          <w:lang w:val="it-IT"/>
        </w:rPr>
        <w:t>NE</w:t>
      </w:r>
      <w:r w:rsidRPr="005C46C8">
        <w:rPr>
          <w:b/>
          <w:szCs w:val="24"/>
          <w:lang w:val="it-IT"/>
        </w:rPr>
        <w:t>L TERRITORIO COMUNALE</w:t>
      </w:r>
    </w:p>
    <w:p w14:paraId="521D188F" w14:textId="77777777" w:rsidR="005C46C8" w:rsidRPr="005C46C8" w:rsidRDefault="005C46C8" w:rsidP="005C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Cs w:val="24"/>
          <w:lang w:val="it-IT"/>
        </w:rPr>
      </w:pPr>
    </w:p>
    <w:p w14:paraId="41440FE6" w14:textId="77777777" w:rsidR="005C46C8" w:rsidRPr="005C46C8" w:rsidRDefault="005C46C8" w:rsidP="005C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Cs w:val="24"/>
          <w:lang w:val="it-IT"/>
        </w:rPr>
      </w:pPr>
    </w:p>
    <w:p w14:paraId="6B22C9B6" w14:textId="77777777" w:rsidR="005C46C8" w:rsidRPr="005C46C8" w:rsidRDefault="005C46C8" w:rsidP="005C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Cs w:val="24"/>
          <w:lang w:val="it-IT"/>
        </w:rPr>
      </w:pPr>
    </w:p>
    <w:p w14:paraId="42877D06" w14:textId="70C970E9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AFD9A05" w14:textId="6E0AA9ED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A25C988" w14:textId="06B1378F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7AD118F" w14:textId="25878606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2D5D4F" w14:textId="76618453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61E622F" w14:textId="26A96CA2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CB9483C" w14:textId="7B150746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0C514B1" w14:textId="53B7CBB3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D0E868A" w14:textId="414C4748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6576542" w14:textId="01D44F20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8EC304D" w14:textId="77777777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F89FE3F" w14:textId="77777777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99A249B" w14:textId="77777777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69D3602" w14:textId="77777777" w:rsidR="005C46C8" w:rsidRDefault="005C46C8" w:rsidP="00113CEA">
      <w:pPr>
        <w:spacing w:before="77"/>
        <w:ind w:right="13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sdt>
      <w:sdtPr>
        <w:rPr>
          <w:rFonts w:ascii="Arial" w:eastAsia="Arial" w:hAnsi="Arial" w:cs="Arial"/>
          <w:color w:val="auto"/>
          <w:sz w:val="22"/>
          <w:szCs w:val="22"/>
          <w:lang w:val="en-US" w:eastAsia="en-US"/>
        </w:rPr>
        <w:id w:val="-9792276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1E750A" w14:textId="6587C995" w:rsidR="005C46C8" w:rsidRDefault="005C46C8">
          <w:pPr>
            <w:pStyle w:val="Titolosommario"/>
          </w:pPr>
          <w:r>
            <w:t>Sommario</w:t>
          </w:r>
        </w:p>
        <w:p w14:paraId="0A59F270" w14:textId="7E5ECA19" w:rsidR="005C46C8" w:rsidRDefault="005C46C8">
          <w:pPr>
            <w:pStyle w:val="Sommario1"/>
            <w:tabs>
              <w:tab w:val="right" w:leader="dot" w:pos="101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69728" w:history="1">
            <w:r w:rsidRPr="00B577EA">
              <w:rPr>
                <w:rStyle w:val="Collegamentoipertestuale"/>
                <w:rFonts w:ascii="Times New Roman" w:hAnsi="Times New Roman" w:cs="Times New Roman"/>
                <w:noProof/>
                <w:lang w:val="it-IT"/>
              </w:rPr>
              <w:t>Art. 1 – Oggetto del Regolamento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_Toc51769728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662B8" w14:textId="23CA16A1" w:rsidR="005C46C8" w:rsidRDefault="006269E5">
          <w:pPr>
            <w:pStyle w:val="Sommario1"/>
            <w:tabs>
              <w:tab w:val="right" w:leader="dot" w:pos="10190"/>
            </w:tabs>
            <w:rPr>
              <w:noProof/>
            </w:rPr>
          </w:pPr>
          <w:hyperlink w:anchor="_Toc51769729" w:history="1">
            <w:r w:rsidR="005C46C8" w:rsidRPr="00B577EA">
              <w:rPr>
                <w:rStyle w:val="Collegamentoipertestuale"/>
                <w:rFonts w:ascii="Times New Roman" w:hAnsi="Times New Roman" w:cs="Times New Roman"/>
                <w:noProof/>
                <w:lang w:val="it-IT"/>
              </w:rPr>
              <w:t>Art. 2 – Principi generali</w:t>
            </w:r>
            <w:r w:rsidR="005C46C8">
              <w:rPr>
                <w:noProof/>
                <w:webHidden/>
              </w:rPr>
              <w:tab/>
            </w:r>
            <w:r w:rsidR="005C46C8">
              <w:rPr>
                <w:noProof/>
                <w:webHidden/>
              </w:rPr>
              <w:fldChar w:fldCharType="begin"/>
            </w:r>
            <w:r w:rsidR="005C46C8">
              <w:rPr>
                <w:noProof/>
                <w:webHidden/>
              </w:rPr>
              <w:instrText xml:space="preserve"> PAGEREF _Toc51769729 \h </w:instrText>
            </w:r>
            <w:r w:rsidR="005C46C8">
              <w:rPr>
                <w:noProof/>
                <w:webHidden/>
              </w:rPr>
            </w:r>
            <w:r w:rsidR="005C46C8">
              <w:rPr>
                <w:noProof/>
                <w:webHidden/>
              </w:rPr>
              <w:fldChar w:fldCharType="separate"/>
            </w:r>
            <w:r w:rsidR="005C46C8">
              <w:rPr>
                <w:noProof/>
                <w:webHidden/>
              </w:rPr>
              <w:t>2</w:t>
            </w:r>
            <w:r w:rsidR="005C46C8">
              <w:rPr>
                <w:noProof/>
                <w:webHidden/>
              </w:rPr>
              <w:fldChar w:fldCharType="end"/>
            </w:r>
          </w:hyperlink>
        </w:p>
        <w:p w14:paraId="6AF5F0E0" w14:textId="3FDCEDBB" w:rsidR="005C46C8" w:rsidRDefault="006269E5">
          <w:pPr>
            <w:pStyle w:val="Sommario1"/>
            <w:tabs>
              <w:tab w:val="right" w:leader="dot" w:pos="10190"/>
            </w:tabs>
            <w:rPr>
              <w:noProof/>
            </w:rPr>
          </w:pPr>
          <w:hyperlink w:anchor="_Toc51769730" w:history="1">
            <w:r w:rsidR="005C46C8" w:rsidRPr="00B577EA">
              <w:rPr>
                <w:rStyle w:val="Collegamentoipertestuale"/>
                <w:rFonts w:ascii="Times New Roman" w:hAnsi="Times New Roman" w:cs="Times New Roman"/>
                <w:noProof/>
                <w:lang w:val="it-IT"/>
              </w:rPr>
              <w:t>Art. 3 – Obblighi</w:t>
            </w:r>
            <w:r w:rsidR="005C46C8">
              <w:rPr>
                <w:noProof/>
                <w:webHidden/>
              </w:rPr>
              <w:tab/>
            </w:r>
            <w:r w:rsidR="005C46C8">
              <w:rPr>
                <w:noProof/>
                <w:webHidden/>
              </w:rPr>
              <w:fldChar w:fldCharType="begin"/>
            </w:r>
            <w:r w:rsidR="005C46C8">
              <w:rPr>
                <w:noProof/>
                <w:webHidden/>
              </w:rPr>
              <w:instrText xml:space="preserve"> PAGEREF _Toc51769730 \h </w:instrText>
            </w:r>
            <w:r w:rsidR="005C46C8">
              <w:rPr>
                <w:noProof/>
                <w:webHidden/>
              </w:rPr>
            </w:r>
            <w:r w:rsidR="005C46C8">
              <w:rPr>
                <w:noProof/>
                <w:webHidden/>
              </w:rPr>
              <w:fldChar w:fldCharType="separate"/>
            </w:r>
            <w:r w:rsidR="005C46C8">
              <w:rPr>
                <w:noProof/>
                <w:webHidden/>
              </w:rPr>
              <w:t>2</w:t>
            </w:r>
            <w:r w:rsidR="005C46C8">
              <w:rPr>
                <w:noProof/>
                <w:webHidden/>
              </w:rPr>
              <w:fldChar w:fldCharType="end"/>
            </w:r>
          </w:hyperlink>
        </w:p>
        <w:p w14:paraId="7826BEE0" w14:textId="45635329" w:rsidR="005C46C8" w:rsidRDefault="006269E5">
          <w:pPr>
            <w:pStyle w:val="Sommario1"/>
            <w:tabs>
              <w:tab w:val="right" w:leader="dot" w:pos="10190"/>
            </w:tabs>
            <w:rPr>
              <w:noProof/>
            </w:rPr>
          </w:pPr>
          <w:hyperlink w:anchor="_Toc51769731" w:history="1">
            <w:r w:rsidR="005C46C8" w:rsidRPr="00B577EA">
              <w:rPr>
                <w:rStyle w:val="Collegamentoipertestuale"/>
                <w:rFonts w:ascii="Times New Roman" w:hAnsi="Times New Roman" w:cs="Times New Roman"/>
                <w:noProof/>
              </w:rPr>
              <w:t>Art. 4 – Divieti</w:t>
            </w:r>
            <w:r w:rsidR="005C46C8">
              <w:rPr>
                <w:noProof/>
                <w:webHidden/>
              </w:rPr>
              <w:tab/>
            </w:r>
            <w:r w:rsidR="005C46C8">
              <w:rPr>
                <w:noProof/>
                <w:webHidden/>
              </w:rPr>
              <w:fldChar w:fldCharType="begin"/>
            </w:r>
            <w:r w:rsidR="005C46C8">
              <w:rPr>
                <w:noProof/>
                <w:webHidden/>
              </w:rPr>
              <w:instrText xml:space="preserve"> PAGEREF _Toc51769731 \h </w:instrText>
            </w:r>
            <w:r w:rsidR="005C46C8">
              <w:rPr>
                <w:noProof/>
                <w:webHidden/>
              </w:rPr>
            </w:r>
            <w:r w:rsidR="005C46C8">
              <w:rPr>
                <w:noProof/>
                <w:webHidden/>
              </w:rPr>
              <w:fldChar w:fldCharType="separate"/>
            </w:r>
            <w:r w:rsidR="005C46C8">
              <w:rPr>
                <w:noProof/>
                <w:webHidden/>
              </w:rPr>
              <w:t>3</w:t>
            </w:r>
            <w:r w:rsidR="005C46C8">
              <w:rPr>
                <w:noProof/>
                <w:webHidden/>
              </w:rPr>
              <w:fldChar w:fldCharType="end"/>
            </w:r>
          </w:hyperlink>
        </w:p>
        <w:p w14:paraId="0175A12C" w14:textId="0D1DFB92" w:rsidR="005C46C8" w:rsidRDefault="006269E5">
          <w:pPr>
            <w:pStyle w:val="Sommario1"/>
            <w:tabs>
              <w:tab w:val="right" w:leader="dot" w:pos="10190"/>
            </w:tabs>
            <w:rPr>
              <w:noProof/>
            </w:rPr>
          </w:pPr>
          <w:hyperlink w:anchor="_Toc51769732" w:history="1">
            <w:r w:rsidR="005C46C8" w:rsidRPr="00B577EA">
              <w:rPr>
                <w:rStyle w:val="Collegamentoipertestuale"/>
                <w:rFonts w:ascii="Times New Roman" w:hAnsi="Times New Roman" w:cs="Times New Roman"/>
                <w:noProof/>
                <w:lang w:val="it-IT"/>
              </w:rPr>
              <w:t>Art. 5 – Attività di vigilanza e sanzioni</w:t>
            </w:r>
            <w:r w:rsidR="005C46C8">
              <w:rPr>
                <w:noProof/>
                <w:webHidden/>
              </w:rPr>
              <w:tab/>
            </w:r>
            <w:r w:rsidR="005C46C8">
              <w:rPr>
                <w:noProof/>
                <w:webHidden/>
              </w:rPr>
              <w:fldChar w:fldCharType="begin"/>
            </w:r>
            <w:r w:rsidR="005C46C8">
              <w:rPr>
                <w:noProof/>
                <w:webHidden/>
              </w:rPr>
              <w:instrText xml:space="preserve"> PAGEREF _Toc51769732 \h </w:instrText>
            </w:r>
            <w:r w:rsidR="005C46C8">
              <w:rPr>
                <w:noProof/>
                <w:webHidden/>
              </w:rPr>
            </w:r>
            <w:r w:rsidR="005C46C8">
              <w:rPr>
                <w:noProof/>
                <w:webHidden/>
              </w:rPr>
              <w:fldChar w:fldCharType="separate"/>
            </w:r>
            <w:r w:rsidR="005C46C8">
              <w:rPr>
                <w:noProof/>
                <w:webHidden/>
              </w:rPr>
              <w:t>3</w:t>
            </w:r>
            <w:r w:rsidR="005C46C8">
              <w:rPr>
                <w:noProof/>
                <w:webHidden/>
              </w:rPr>
              <w:fldChar w:fldCharType="end"/>
            </w:r>
          </w:hyperlink>
        </w:p>
        <w:p w14:paraId="18B4C9F6" w14:textId="5F2B3597" w:rsidR="005C46C8" w:rsidRDefault="006269E5">
          <w:pPr>
            <w:pStyle w:val="Sommario1"/>
            <w:tabs>
              <w:tab w:val="right" w:leader="dot" w:pos="10190"/>
            </w:tabs>
            <w:rPr>
              <w:noProof/>
            </w:rPr>
          </w:pPr>
          <w:hyperlink w:anchor="_Toc51769733" w:history="1">
            <w:r w:rsidR="005C46C8" w:rsidRPr="00B577EA">
              <w:rPr>
                <w:rStyle w:val="Collegamentoipertestuale"/>
                <w:rFonts w:ascii="Times New Roman" w:hAnsi="Times New Roman" w:cs="Times New Roman"/>
                <w:noProof/>
              </w:rPr>
              <w:t>Art. 6 – Entrata in vigore</w:t>
            </w:r>
            <w:r w:rsidR="005C46C8">
              <w:rPr>
                <w:noProof/>
                <w:webHidden/>
              </w:rPr>
              <w:tab/>
            </w:r>
            <w:r w:rsidR="005C46C8">
              <w:rPr>
                <w:noProof/>
                <w:webHidden/>
              </w:rPr>
              <w:fldChar w:fldCharType="begin"/>
            </w:r>
            <w:r w:rsidR="005C46C8">
              <w:rPr>
                <w:noProof/>
                <w:webHidden/>
              </w:rPr>
              <w:instrText xml:space="preserve"> PAGEREF _Toc51769733 \h </w:instrText>
            </w:r>
            <w:r w:rsidR="005C46C8">
              <w:rPr>
                <w:noProof/>
                <w:webHidden/>
              </w:rPr>
            </w:r>
            <w:r w:rsidR="005C46C8">
              <w:rPr>
                <w:noProof/>
                <w:webHidden/>
              </w:rPr>
              <w:fldChar w:fldCharType="separate"/>
            </w:r>
            <w:r w:rsidR="005C46C8">
              <w:rPr>
                <w:noProof/>
                <w:webHidden/>
              </w:rPr>
              <w:t>3</w:t>
            </w:r>
            <w:r w:rsidR="005C46C8">
              <w:rPr>
                <w:noProof/>
                <w:webHidden/>
              </w:rPr>
              <w:fldChar w:fldCharType="end"/>
            </w:r>
          </w:hyperlink>
        </w:p>
        <w:p w14:paraId="577CAFE9" w14:textId="17B3BDDF" w:rsidR="005C46C8" w:rsidRDefault="005C46C8">
          <w:r>
            <w:rPr>
              <w:b/>
              <w:bCs/>
            </w:rPr>
            <w:fldChar w:fldCharType="end"/>
          </w:r>
        </w:p>
      </w:sdtContent>
    </w:sdt>
    <w:p w14:paraId="40FE2A43" w14:textId="6DE972AC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2FE1297F" w14:textId="6C01AE19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1780E16E" w14:textId="4655059D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46C52AE8" w14:textId="150BDC14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03069DEC" w14:textId="2FE5121F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01F4E943" w14:textId="2BA56A16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03E3910F" w14:textId="4C40A65E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673B4DA5" w14:textId="691EA98D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585B74AA" w14:textId="479793EB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1D12895F" w14:textId="6B2CC3AC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2F5B863C" w14:textId="6539833C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6A6C9406" w14:textId="6277945A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2083294C" w14:textId="62D411F6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7CC203E6" w14:textId="3A1C8039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726FD34F" w14:textId="470A7E47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789B37F1" w14:textId="75BE03B2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15A0BA47" w14:textId="5216FDF3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57192A0B" w14:textId="7B6ECEDF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650329E9" w14:textId="456BB4DF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5006B80F" w14:textId="2CD00A9E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443409D8" w14:textId="1B6A7106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5D7EA694" w14:textId="5EC96CD5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706104E3" w14:textId="55056CAD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4C271E8F" w14:textId="13CC3B81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1D137864" w14:textId="0EFE5478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4DFB45A7" w14:textId="3BABEB24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4D6884E4" w14:textId="3DBEFD3D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6305E1E7" w14:textId="73B84577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7F4DCB4E" w14:textId="667D70E3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7560908C" w14:textId="14965422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662646D5" w14:textId="65785934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55031B72" w14:textId="7340D268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18D4D280" w14:textId="379C2F93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7DD9E148" w14:textId="2AA480EB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03F2714B" w14:textId="06F10D63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689B38D9" w14:textId="25E0CB47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3BE33298" w14:textId="77777777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57C8472C" w14:textId="395F387A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150683D4" w14:textId="35FC17E2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232D17F6" w14:textId="13FD1090" w:rsidR="005C46C8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6E710FC5" w14:textId="77777777" w:rsidR="005C46C8" w:rsidRPr="00570BAB" w:rsidRDefault="005C46C8" w:rsidP="0077478B">
      <w:pPr>
        <w:pStyle w:val="Corpotesto"/>
        <w:ind w:left="0" w:right="135" w:firstLine="0"/>
        <w:jc w:val="left"/>
        <w:rPr>
          <w:rFonts w:ascii="Times New Roman" w:hAnsi="Times New Roman" w:cs="Times New Roman"/>
          <w:b/>
          <w:lang w:val="it-IT"/>
        </w:rPr>
      </w:pPr>
    </w:p>
    <w:p w14:paraId="3960D658" w14:textId="77777777" w:rsidR="007D0ACC" w:rsidRPr="00570BAB" w:rsidRDefault="0077478B" w:rsidP="0077478B">
      <w:pPr>
        <w:pStyle w:val="Titolo1"/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lang w:val="it-IT"/>
        </w:rPr>
      </w:pPr>
      <w:bookmarkStart w:id="3" w:name="_Toc51769728"/>
      <w:r w:rsidRPr="00570BAB">
        <w:rPr>
          <w:rFonts w:ascii="Times New Roman" w:hAnsi="Times New Roman" w:cs="Times New Roman"/>
          <w:lang w:val="it-IT"/>
        </w:rPr>
        <w:t>A</w:t>
      </w:r>
      <w:r w:rsidR="001B07A4">
        <w:rPr>
          <w:rFonts w:ascii="Times New Roman" w:hAnsi="Times New Roman" w:cs="Times New Roman"/>
          <w:lang w:val="it-IT"/>
        </w:rPr>
        <w:t>rt</w:t>
      </w:r>
      <w:r w:rsidRPr="00570BAB">
        <w:rPr>
          <w:rFonts w:ascii="Times New Roman" w:hAnsi="Times New Roman" w:cs="Times New Roman"/>
          <w:lang w:val="it-IT"/>
        </w:rPr>
        <w:t>. 1 – Oggetto del Regolamento</w:t>
      </w:r>
      <w:bookmarkEnd w:id="3"/>
    </w:p>
    <w:p w14:paraId="530BBAEB" w14:textId="35E77DB1" w:rsidR="003A3047" w:rsidRPr="00570BAB" w:rsidRDefault="0077478B" w:rsidP="0077478B">
      <w:pPr>
        <w:pStyle w:val="Corpotesto"/>
        <w:spacing w:before="100" w:beforeAutospacing="1" w:after="100" w:afterAutospacing="1" w:line="360" w:lineRule="auto"/>
        <w:ind w:left="115" w:right="135" w:firstLine="0"/>
        <w:rPr>
          <w:rFonts w:ascii="Times New Roman" w:hAnsi="Times New Roman" w:cs="Times New Roman"/>
          <w:lang w:val="it-IT"/>
        </w:rPr>
      </w:pPr>
      <w:r w:rsidRPr="00570BAB">
        <w:rPr>
          <w:rFonts w:ascii="Times New Roman" w:hAnsi="Times New Roman" w:cs="Times New Roman"/>
          <w:lang w:val="it-IT"/>
        </w:rPr>
        <w:t xml:space="preserve">Il presente Regolamento detta disposizioni per la corretta e razionale fruizione delle aree </w:t>
      </w:r>
      <w:r w:rsidR="00AC0868">
        <w:rPr>
          <w:rFonts w:ascii="Times New Roman" w:hAnsi="Times New Roman" w:cs="Times New Roman"/>
          <w:lang w:val="it-IT"/>
        </w:rPr>
        <w:t>di sgambatura</w:t>
      </w:r>
      <w:r w:rsidR="00022DE1">
        <w:rPr>
          <w:rFonts w:ascii="Times New Roman" w:hAnsi="Times New Roman" w:cs="Times New Roman"/>
          <w:lang w:val="it-IT"/>
        </w:rPr>
        <w:t xml:space="preserve"> </w:t>
      </w:r>
      <w:r w:rsidR="00022DE1" w:rsidRPr="004C4A79">
        <w:rPr>
          <w:rFonts w:ascii="Times New Roman" w:hAnsi="Times New Roman" w:cs="Times New Roman"/>
          <w:lang w:val="it-IT"/>
        </w:rPr>
        <w:t>esistenti sul territorio comunale</w:t>
      </w:r>
      <w:r w:rsidR="006269E5">
        <w:rPr>
          <w:rFonts w:ascii="Times New Roman" w:hAnsi="Times New Roman" w:cs="Times New Roman"/>
          <w:lang w:val="it-IT"/>
        </w:rPr>
        <w:t xml:space="preserve"> e quelle di futura realizzazione, </w:t>
      </w:r>
      <w:r w:rsidRPr="004C4A79">
        <w:rPr>
          <w:rFonts w:ascii="Times New Roman" w:hAnsi="Times New Roman" w:cs="Times New Roman"/>
          <w:lang w:val="it-IT"/>
        </w:rPr>
        <w:t xml:space="preserve">al fine di salvaguardare la sicurezza degli utenti che ne usufruiscono e </w:t>
      </w:r>
      <w:r w:rsidRPr="00570BAB">
        <w:rPr>
          <w:rFonts w:ascii="Times New Roman" w:hAnsi="Times New Roman" w:cs="Times New Roman"/>
          <w:lang w:val="it-IT"/>
        </w:rPr>
        <w:t>al fine di garantire il benessere dei</w:t>
      </w:r>
      <w:r w:rsidRPr="00570BA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570BAB">
        <w:rPr>
          <w:rFonts w:ascii="Times New Roman" w:hAnsi="Times New Roman" w:cs="Times New Roman"/>
          <w:lang w:val="it-IT"/>
        </w:rPr>
        <w:t>cani.</w:t>
      </w:r>
    </w:p>
    <w:p w14:paraId="040EB81E" w14:textId="77777777" w:rsidR="00E13245" w:rsidRPr="00570BAB" w:rsidRDefault="0077478B" w:rsidP="0077478B">
      <w:pPr>
        <w:pStyle w:val="Titolo1"/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lang w:val="it-IT"/>
        </w:rPr>
      </w:pPr>
      <w:bookmarkStart w:id="4" w:name="_Toc51769729"/>
      <w:r w:rsidRPr="00570BAB">
        <w:rPr>
          <w:rFonts w:ascii="Times New Roman" w:hAnsi="Times New Roman" w:cs="Times New Roman"/>
          <w:lang w:val="it-IT"/>
        </w:rPr>
        <w:t xml:space="preserve">Art. </w:t>
      </w:r>
      <w:r w:rsidR="00570BAB">
        <w:rPr>
          <w:rFonts w:ascii="Times New Roman" w:hAnsi="Times New Roman" w:cs="Times New Roman"/>
          <w:lang w:val="it-IT"/>
        </w:rPr>
        <w:t>2</w:t>
      </w:r>
      <w:r w:rsidRPr="00570BAB">
        <w:rPr>
          <w:rFonts w:ascii="Times New Roman" w:hAnsi="Times New Roman" w:cs="Times New Roman"/>
          <w:lang w:val="it-IT"/>
        </w:rPr>
        <w:t xml:space="preserve"> – Principi generali</w:t>
      </w:r>
      <w:bookmarkEnd w:id="4"/>
      <w:r w:rsidRPr="00570BAB">
        <w:rPr>
          <w:rFonts w:ascii="Times New Roman" w:hAnsi="Times New Roman" w:cs="Times New Roman"/>
          <w:lang w:val="it-IT"/>
        </w:rPr>
        <w:t xml:space="preserve"> </w:t>
      </w:r>
    </w:p>
    <w:p w14:paraId="43BA1C35" w14:textId="77777777" w:rsidR="003A3047" w:rsidRDefault="0077478B" w:rsidP="00022DE1">
      <w:pPr>
        <w:pStyle w:val="Corpotesto"/>
        <w:numPr>
          <w:ilvl w:val="0"/>
          <w:numId w:val="6"/>
        </w:numPr>
        <w:spacing w:before="100" w:beforeAutospacing="1" w:after="100" w:afterAutospacing="1" w:line="360" w:lineRule="auto"/>
        <w:ind w:right="135"/>
        <w:rPr>
          <w:rFonts w:ascii="Times New Roman" w:hAnsi="Times New Roman" w:cs="Times New Roman"/>
          <w:lang w:val="it-IT"/>
        </w:rPr>
      </w:pPr>
      <w:r w:rsidRPr="00570BAB">
        <w:rPr>
          <w:rFonts w:ascii="Times New Roman" w:hAnsi="Times New Roman" w:cs="Times New Roman"/>
          <w:lang w:val="it-IT"/>
        </w:rPr>
        <w:t>L'area</w:t>
      </w:r>
      <w:r w:rsidR="00AC0868">
        <w:rPr>
          <w:rFonts w:ascii="Times New Roman" w:hAnsi="Times New Roman" w:cs="Times New Roman"/>
          <w:lang w:val="it-IT"/>
        </w:rPr>
        <w:t xml:space="preserve"> di sgambatura</w:t>
      </w:r>
      <w:r w:rsidRPr="00570BAB">
        <w:rPr>
          <w:rFonts w:ascii="Times New Roman" w:hAnsi="Times New Roman" w:cs="Times New Roman"/>
          <w:lang w:val="it-IT"/>
        </w:rPr>
        <w:t xml:space="preserve"> è costituita al fine di migliorare il benessere dei cani attraverso la libera attività motoria, in spazi ampi, riservati ed opportunamente protetti rispetto alla restante utenza del verde pubblico.</w:t>
      </w:r>
    </w:p>
    <w:p w14:paraId="55D8F7C4" w14:textId="77777777" w:rsidR="003A3047" w:rsidRPr="00022DE1" w:rsidRDefault="00570BAB" w:rsidP="00022DE1">
      <w:pPr>
        <w:pStyle w:val="Paragrafoelenco"/>
        <w:numPr>
          <w:ilvl w:val="0"/>
          <w:numId w:val="6"/>
        </w:numPr>
        <w:tabs>
          <w:tab w:val="left" w:pos="542"/>
        </w:tabs>
        <w:spacing w:before="100" w:beforeAutospacing="1" w:after="100" w:afterAutospacing="1" w:line="360" w:lineRule="auto"/>
        <w:ind w:right="135"/>
        <w:rPr>
          <w:rFonts w:ascii="Times New Roman" w:hAnsi="Times New Roman" w:cs="Times New Roman"/>
          <w:sz w:val="24"/>
          <w:szCs w:val="24"/>
          <w:lang w:val="it-IT"/>
        </w:rPr>
      </w:pPr>
      <w:r w:rsidRPr="00022DE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Tutti </w:t>
      </w:r>
      <w:r w:rsidRPr="00022DE1">
        <w:rPr>
          <w:rFonts w:ascii="Times New Roman" w:hAnsi="Times New Roman" w:cs="Times New Roman"/>
          <w:sz w:val="24"/>
          <w:szCs w:val="24"/>
          <w:lang w:val="it-IT"/>
        </w:rPr>
        <w:t>i comportamenti devono essere improntati al rispetto degli animali e delle persone presenti</w:t>
      </w:r>
      <w:r w:rsidR="00E13245" w:rsidRPr="00022DE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FA60439" w14:textId="77777777" w:rsidR="00E13245" w:rsidRPr="00570BAB" w:rsidRDefault="0077478B" w:rsidP="0077478B">
      <w:pPr>
        <w:pStyle w:val="Titolo1"/>
        <w:spacing w:before="100" w:beforeAutospacing="1" w:after="100" w:afterAutospacing="1"/>
        <w:ind w:right="135"/>
        <w:jc w:val="both"/>
        <w:rPr>
          <w:rFonts w:ascii="Times New Roman" w:hAnsi="Times New Roman" w:cs="Times New Roman"/>
          <w:lang w:val="it-IT"/>
        </w:rPr>
      </w:pPr>
      <w:bookmarkStart w:id="5" w:name="_Toc51769730"/>
      <w:r w:rsidRPr="00570BAB">
        <w:rPr>
          <w:rFonts w:ascii="Times New Roman" w:hAnsi="Times New Roman" w:cs="Times New Roman"/>
          <w:lang w:val="it-IT"/>
        </w:rPr>
        <w:t xml:space="preserve">Art. </w:t>
      </w:r>
      <w:r w:rsidR="00570BAB">
        <w:rPr>
          <w:rFonts w:ascii="Times New Roman" w:hAnsi="Times New Roman" w:cs="Times New Roman"/>
          <w:lang w:val="it-IT"/>
        </w:rPr>
        <w:t>3</w:t>
      </w:r>
      <w:r w:rsidRPr="00570BAB">
        <w:rPr>
          <w:rFonts w:ascii="Times New Roman" w:hAnsi="Times New Roman" w:cs="Times New Roman"/>
          <w:lang w:val="it-IT"/>
        </w:rPr>
        <w:t xml:space="preserve"> – Obblighi</w:t>
      </w:r>
      <w:bookmarkEnd w:id="5"/>
      <w:r w:rsidRPr="00570BAB">
        <w:rPr>
          <w:rFonts w:ascii="Times New Roman" w:hAnsi="Times New Roman" w:cs="Times New Roman"/>
          <w:lang w:val="it-IT"/>
        </w:rPr>
        <w:t xml:space="preserve"> </w:t>
      </w:r>
    </w:p>
    <w:p w14:paraId="1EFCFFBC" w14:textId="77777777" w:rsidR="00570BAB" w:rsidRDefault="0022408D" w:rsidP="0077478B">
      <w:pPr>
        <w:pStyle w:val="Paragrafoelenco"/>
        <w:numPr>
          <w:ilvl w:val="0"/>
          <w:numId w:val="4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570BAB" w:rsidRPr="00570BAB">
        <w:rPr>
          <w:rFonts w:ascii="Times New Roman" w:hAnsi="Times New Roman" w:cs="Times New Roman"/>
          <w:sz w:val="24"/>
          <w:szCs w:val="24"/>
          <w:lang w:val="it-IT"/>
        </w:rPr>
        <w:t>garanzia dell'igiene e del decoro dell'area</w:t>
      </w:r>
      <w:r w:rsidR="00F145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C0868">
        <w:rPr>
          <w:rFonts w:ascii="Times New Roman" w:hAnsi="Times New Roman" w:cs="Times New Roman"/>
          <w:sz w:val="24"/>
          <w:szCs w:val="24"/>
          <w:lang w:val="it-IT"/>
        </w:rPr>
        <w:t xml:space="preserve">di sgambatura </w:t>
      </w:r>
      <w:r w:rsidR="00570BAB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570BAB" w:rsidRPr="00570BAB">
        <w:rPr>
          <w:rFonts w:ascii="Times New Roman" w:hAnsi="Times New Roman" w:cs="Times New Roman"/>
          <w:sz w:val="24"/>
          <w:szCs w:val="24"/>
          <w:lang w:val="it-IT"/>
        </w:rPr>
        <w:t xml:space="preserve"> fatto obbligo di raccogliere eventuali deiezioni del proprio cane e provvedere a depositarle negli appositi contenitori presenti nell'area</w:t>
      </w:r>
      <w:r w:rsidR="00570BA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AEBA10B" w14:textId="77777777" w:rsidR="003A3047" w:rsidRPr="00570BAB" w:rsidRDefault="0077478B" w:rsidP="0077478B">
      <w:pPr>
        <w:pStyle w:val="Paragrafoelenco"/>
        <w:numPr>
          <w:ilvl w:val="0"/>
          <w:numId w:val="4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Per motivi di sicurezza, l'accesso all'area</w:t>
      </w:r>
      <w:r w:rsidR="00F1454E">
        <w:rPr>
          <w:rFonts w:ascii="Times New Roman" w:hAnsi="Times New Roman" w:cs="Times New Roman"/>
          <w:sz w:val="24"/>
          <w:szCs w:val="24"/>
          <w:lang w:val="it-IT"/>
        </w:rPr>
        <w:t xml:space="preserve"> cani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 xml:space="preserve"> è riservato esclusivamente ai proprietari/conduttori e ai loro</w:t>
      </w:r>
      <w:r w:rsidRPr="00570BA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cani;</w:t>
      </w:r>
    </w:p>
    <w:p w14:paraId="6C8E035A" w14:textId="77777777" w:rsidR="003A3047" w:rsidRPr="00570BAB" w:rsidRDefault="0077478B" w:rsidP="0077478B">
      <w:pPr>
        <w:pStyle w:val="Paragrafoelenco"/>
        <w:numPr>
          <w:ilvl w:val="0"/>
          <w:numId w:val="4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I cani possono essere lasciati liberi da guinzaglio purché sotto il controllo dell'accompagnatore che deve essere presente all’interno dell’area.</w:t>
      </w:r>
    </w:p>
    <w:p w14:paraId="1F238451" w14:textId="77777777" w:rsidR="003A3047" w:rsidRPr="00570BAB" w:rsidRDefault="0077478B" w:rsidP="0077478B">
      <w:pPr>
        <w:pStyle w:val="Paragrafoelenco"/>
        <w:numPr>
          <w:ilvl w:val="0"/>
          <w:numId w:val="4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Ogni conduttore è responsabile del proprio cane. Per evitare eventuali conflitti non gestibili in sicurezza, ciascun accompagnatore dovrà valutare l'opportunità di accedere e permanere con proprio cane in base agli altri cani già</w:t>
      </w:r>
      <w:r w:rsidRPr="00570BAB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presenti;</w:t>
      </w:r>
    </w:p>
    <w:p w14:paraId="3097CB34" w14:textId="77777777" w:rsidR="003A3047" w:rsidRPr="00570BAB" w:rsidRDefault="0077478B" w:rsidP="0077478B">
      <w:pPr>
        <w:pStyle w:val="Paragrafoelenco"/>
        <w:numPr>
          <w:ilvl w:val="0"/>
          <w:numId w:val="4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Nel caso di cani con problemi comportamentali, devono essere adottati museruola o guinzaglio;</w:t>
      </w:r>
    </w:p>
    <w:p w14:paraId="4A5B5112" w14:textId="77777777" w:rsidR="003A3047" w:rsidRPr="00570BAB" w:rsidRDefault="0077478B" w:rsidP="0077478B">
      <w:pPr>
        <w:pStyle w:val="Paragrafoelenco"/>
        <w:numPr>
          <w:ilvl w:val="0"/>
          <w:numId w:val="4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 xml:space="preserve">I proprietari/conduttori di cane potranno permanere nell'area </w:t>
      </w:r>
      <w:r w:rsidR="00AC0868">
        <w:rPr>
          <w:rFonts w:ascii="Times New Roman" w:hAnsi="Times New Roman" w:cs="Times New Roman"/>
          <w:sz w:val="24"/>
          <w:szCs w:val="24"/>
          <w:lang w:val="it-IT"/>
        </w:rPr>
        <w:t xml:space="preserve">di sgambatura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con il proprio cane per un periodo massimo di 30 minuti nel caso in cui altri cani, con lui incompatibili, stiano aspettando di</w:t>
      </w:r>
      <w:r w:rsidRPr="00570BA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accedere;</w:t>
      </w:r>
    </w:p>
    <w:p w14:paraId="2C420ECF" w14:textId="77777777" w:rsidR="003A3047" w:rsidRDefault="0077478B" w:rsidP="0077478B">
      <w:pPr>
        <w:pStyle w:val="Paragrafoelenco"/>
        <w:numPr>
          <w:ilvl w:val="0"/>
          <w:numId w:val="4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Il proprietario/conduttore del cane è sempre responsabile del benessere, del controllo e della conduzione dell’animale e risponde sia civilmente che penalmente dei danni o lesioni a persone, animali e cose provocati dall’animale</w:t>
      </w:r>
      <w:r w:rsidRPr="00570BAB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stesso;</w:t>
      </w:r>
    </w:p>
    <w:p w14:paraId="7D3EEAEB" w14:textId="77777777" w:rsidR="00660976" w:rsidRPr="004837A5" w:rsidRDefault="00660976" w:rsidP="00660976">
      <w:pPr>
        <w:pStyle w:val="Paragrafoelenco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lang w:val="it-IT"/>
        </w:rPr>
      </w:pPr>
      <w:r w:rsidRPr="004837A5">
        <w:rPr>
          <w:rFonts w:ascii="Times New Roman" w:hAnsi="Times New Roman" w:cs="Times New Roman"/>
          <w:sz w:val="24"/>
          <w:lang w:val="it-IT"/>
        </w:rPr>
        <w:t>il proprietario/conduttore del cane è tenuto a riparare eventuali danneggiamenti degli arredi urbani presenti nell'area provocati dal proprio cane ed a ricoprire e ripianare le buche scavate dal proprio cane.</w:t>
      </w:r>
    </w:p>
    <w:p w14:paraId="71C743C3" w14:textId="77777777" w:rsidR="00660976" w:rsidRPr="004837A5" w:rsidRDefault="00660976" w:rsidP="00660976">
      <w:pPr>
        <w:pStyle w:val="Paragrafoelenco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lang w:val="it-IT"/>
        </w:rPr>
      </w:pPr>
      <w:r w:rsidRPr="004837A5">
        <w:rPr>
          <w:rFonts w:ascii="Times New Roman" w:hAnsi="Times New Roman" w:cs="Times New Roman"/>
          <w:sz w:val="24"/>
          <w:lang w:val="it-IT"/>
        </w:rPr>
        <w:t>il proprietario/ conduttore di cane all'interno dell'area deve astenersi dallo svolgere attività di addestramento o qualsiasi altra attività, diversa dal gioco.</w:t>
      </w:r>
    </w:p>
    <w:p w14:paraId="047F7C91" w14:textId="77777777" w:rsidR="003A3047" w:rsidRPr="004837A5" w:rsidRDefault="0077478B" w:rsidP="0077478B">
      <w:pPr>
        <w:pStyle w:val="Paragrafoelenco"/>
        <w:numPr>
          <w:ilvl w:val="0"/>
          <w:numId w:val="4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837A5">
        <w:rPr>
          <w:rFonts w:ascii="Times New Roman" w:hAnsi="Times New Roman" w:cs="Times New Roman"/>
          <w:sz w:val="24"/>
          <w:szCs w:val="24"/>
          <w:lang w:val="it-IT"/>
        </w:rPr>
        <w:t>I minori di anni 16 possono entrare nell'area esclusivamente se accompagnati dai genitori/tutori. I maggiori di 16 anni possono invece condurre il proprio cane all’interno dell’area non accompagnati dai genitori/tutori anche se nell'area sono presenti altri cani non di loro</w:t>
      </w:r>
      <w:r w:rsidRPr="004837A5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4837A5">
        <w:rPr>
          <w:rFonts w:ascii="Times New Roman" w:hAnsi="Times New Roman" w:cs="Times New Roman"/>
          <w:sz w:val="24"/>
          <w:szCs w:val="24"/>
          <w:lang w:val="it-IT"/>
        </w:rPr>
        <w:t>proprietà;</w:t>
      </w:r>
    </w:p>
    <w:p w14:paraId="29DA695F" w14:textId="77777777" w:rsidR="007D0ACC" w:rsidRPr="004837A5" w:rsidRDefault="0077478B" w:rsidP="0077478B">
      <w:pPr>
        <w:pStyle w:val="Titolo1"/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</w:rPr>
      </w:pPr>
      <w:bookmarkStart w:id="6" w:name="_Toc51769731"/>
      <w:r w:rsidRPr="004837A5">
        <w:rPr>
          <w:rFonts w:ascii="Times New Roman" w:hAnsi="Times New Roman" w:cs="Times New Roman"/>
        </w:rPr>
        <w:t xml:space="preserve">Art. </w:t>
      </w:r>
      <w:r w:rsidR="00570BAB" w:rsidRPr="004837A5">
        <w:rPr>
          <w:rFonts w:ascii="Times New Roman" w:hAnsi="Times New Roman" w:cs="Times New Roman"/>
        </w:rPr>
        <w:t>4</w:t>
      </w:r>
      <w:r w:rsidRPr="004837A5">
        <w:rPr>
          <w:rFonts w:ascii="Times New Roman" w:hAnsi="Times New Roman" w:cs="Times New Roman"/>
        </w:rPr>
        <w:t xml:space="preserve"> – Divieti</w:t>
      </w:r>
      <w:bookmarkEnd w:id="6"/>
    </w:p>
    <w:p w14:paraId="3B0918CF" w14:textId="77777777" w:rsidR="00660976" w:rsidRPr="004837A5" w:rsidRDefault="00660976" w:rsidP="00660976">
      <w:pPr>
        <w:pStyle w:val="Paragrafoelenco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lang w:val="it-IT"/>
        </w:rPr>
      </w:pPr>
      <w:r w:rsidRPr="004837A5">
        <w:rPr>
          <w:rFonts w:ascii="Times New Roman" w:hAnsi="Times New Roman" w:cs="Times New Roman"/>
          <w:sz w:val="24"/>
          <w:lang w:val="it-IT"/>
        </w:rPr>
        <w:t>è vietato introdurre cani che non siano regolarmente muniti di microchip secondo le vigenti normative.</w:t>
      </w:r>
    </w:p>
    <w:p w14:paraId="670998FC" w14:textId="77777777" w:rsidR="003A3047" w:rsidRPr="004837A5" w:rsidRDefault="0077478B" w:rsidP="0077478B">
      <w:pPr>
        <w:pStyle w:val="Paragrafoelenco"/>
        <w:numPr>
          <w:ilvl w:val="0"/>
          <w:numId w:val="3"/>
        </w:numPr>
        <w:tabs>
          <w:tab w:val="left" w:pos="541"/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837A5">
        <w:rPr>
          <w:rFonts w:ascii="Times New Roman" w:hAnsi="Times New Roman" w:cs="Times New Roman"/>
          <w:sz w:val="24"/>
          <w:szCs w:val="24"/>
          <w:lang w:val="it-IT"/>
        </w:rPr>
        <w:t>È vietato l’accesso ai cani affetti da</w:t>
      </w:r>
      <w:r w:rsidRPr="004837A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4837A5">
        <w:rPr>
          <w:rFonts w:ascii="Times New Roman" w:hAnsi="Times New Roman" w:cs="Times New Roman"/>
          <w:sz w:val="24"/>
          <w:szCs w:val="24"/>
          <w:lang w:val="it-IT"/>
        </w:rPr>
        <w:t>patologie;</w:t>
      </w:r>
    </w:p>
    <w:p w14:paraId="763EE8F0" w14:textId="77777777" w:rsidR="003A3047" w:rsidRPr="004837A5" w:rsidRDefault="0077478B" w:rsidP="0077478B">
      <w:pPr>
        <w:pStyle w:val="Paragrafoelenco"/>
        <w:numPr>
          <w:ilvl w:val="0"/>
          <w:numId w:val="3"/>
        </w:numPr>
        <w:tabs>
          <w:tab w:val="left" w:pos="541"/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837A5">
        <w:rPr>
          <w:rFonts w:ascii="Times New Roman" w:hAnsi="Times New Roman" w:cs="Times New Roman"/>
          <w:sz w:val="24"/>
          <w:szCs w:val="24"/>
          <w:lang w:val="it-IT"/>
        </w:rPr>
        <w:t>È vietato l'accesso ai cani femmina in calore, nel caso vi siano altri cani</w:t>
      </w:r>
      <w:r w:rsidRPr="004837A5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4837A5">
        <w:rPr>
          <w:rFonts w:ascii="Times New Roman" w:hAnsi="Times New Roman" w:cs="Times New Roman"/>
          <w:sz w:val="24"/>
          <w:szCs w:val="24"/>
          <w:lang w:val="it-IT"/>
        </w:rPr>
        <w:t>nell’area;</w:t>
      </w:r>
    </w:p>
    <w:p w14:paraId="667B46E1" w14:textId="77777777" w:rsidR="003A3047" w:rsidRPr="004837A5" w:rsidRDefault="0077478B" w:rsidP="0077478B">
      <w:pPr>
        <w:pStyle w:val="Paragrafoelenco"/>
        <w:numPr>
          <w:ilvl w:val="0"/>
          <w:numId w:val="3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837A5">
        <w:rPr>
          <w:rFonts w:ascii="Times New Roman" w:hAnsi="Times New Roman" w:cs="Times New Roman"/>
          <w:sz w:val="24"/>
          <w:szCs w:val="24"/>
          <w:lang w:val="it-IT"/>
        </w:rPr>
        <w:t xml:space="preserve">È vietato l’accesso ai cani che già hanno morso o aggredito e che sono stati inseriti nell’elenco di cui all’art. 3 </w:t>
      </w:r>
      <w:r w:rsidR="00660976" w:rsidRPr="004837A5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4837A5">
        <w:rPr>
          <w:rFonts w:ascii="Times New Roman" w:hAnsi="Times New Roman" w:cs="Times New Roman"/>
          <w:sz w:val="24"/>
          <w:szCs w:val="24"/>
          <w:lang w:val="it-IT"/>
        </w:rPr>
        <w:t>rdinanza Ministeriale</w:t>
      </w:r>
      <w:r w:rsidRPr="004837A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4837A5">
        <w:rPr>
          <w:rFonts w:ascii="Times New Roman" w:hAnsi="Times New Roman" w:cs="Times New Roman"/>
          <w:sz w:val="24"/>
          <w:szCs w:val="24"/>
          <w:lang w:val="it-IT"/>
        </w:rPr>
        <w:t>03.03.2009;</w:t>
      </w:r>
    </w:p>
    <w:p w14:paraId="225B2425" w14:textId="77777777" w:rsidR="00B86A8E" w:rsidRDefault="0077478B" w:rsidP="00B86A8E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478B">
        <w:rPr>
          <w:rFonts w:ascii="Times New Roman" w:hAnsi="Times New Roman" w:cs="Times New Roman"/>
          <w:sz w:val="24"/>
          <w:szCs w:val="24"/>
          <w:lang w:val="it-IT"/>
        </w:rPr>
        <w:t>È vietata la somministrazione di cibo ai cani all'interno dell'area</w:t>
      </w:r>
      <w:r w:rsidR="00F145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C0868">
        <w:rPr>
          <w:rFonts w:ascii="Times New Roman" w:hAnsi="Times New Roman" w:cs="Times New Roman"/>
          <w:sz w:val="24"/>
          <w:szCs w:val="24"/>
          <w:lang w:val="it-IT"/>
        </w:rPr>
        <w:t>di sgambatura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D866354" w14:textId="77777777" w:rsidR="003A3047" w:rsidRPr="00570BAB" w:rsidRDefault="00B86A8E" w:rsidP="00B86A8E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7478B" w:rsidRPr="00570BAB">
        <w:rPr>
          <w:rFonts w:ascii="Times New Roman" w:hAnsi="Times New Roman" w:cs="Times New Roman"/>
          <w:sz w:val="24"/>
          <w:szCs w:val="24"/>
          <w:lang w:val="it-IT"/>
        </w:rPr>
        <w:t>È vietato ai fruitori dell'area di introdurre e consumare alimenti di qualsiasi</w:t>
      </w:r>
      <w:r w:rsidR="0077478B" w:rsidRPr="00570BAB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="0077478B" w:rsidRPr="00570BAB">
        <w:rPr>
          <w:rFonts w:ascii="Times New Roman" w:hAnsi="Times New Roman" w:cs="Times New Roman"/>
          <w:sz w:val="24"/>
          <w:szCs w:val="24"/>
          <w:lang w:val="it-IT"/>
        </w:rPr>
        <w:t>tipo</w:t>
      </w:r>
      <w:r w:rsidR="0077478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79D56B8" w14:textId="77777777" w:rsidR="003A3047" w:rsidRPr="00570BAB" w:rsidRDefault="0077478B" w:rsidP="0077478B">
      <w:pPr>
        <w:pStyle w:val="Paragrafoelenco"/>
        <w:numPr>
          <w:ilvl w:val="0"/>
          <w:numId w:val="3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È vietato introdurre nelle aree</w:t>
      </w:r>
      <w:r w:rsidR="00F145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C0868">
        <w:rPr>
          <w:rFonts w:ascii="Times New Roman" w:hAnsi="Times New Roman" w:cs="Times New Roman"/>
          <w:sz w:val="24"/>
          <w:szCs w:val="24"/>
          <w:lang w:val="it-IT"/>
        </w:rPr>
        <w:t>di sgambatura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 xml:space="preserve"> qualsiasi tipo di veicolo di cui all’art. 47 CdS, nonché, biciclette per bambini, acceleratori d’andatura, pattini e similari, ad eccezione dei mezzi autorizzati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A14BC70" w14:textId="77777777" w:rsidR="003A3047" w:rsidRPr="00570BAB" w:rsidRDefault="0077478B" w:rsidP="0077478B">
      <w:pPr>
        <w:pStyle w:val="Paragrafoelenco"/>
        <w:numPr>
          <w:ilvl w:val="0"/>
          <w:numId w:val="3"/>
        </w:numPr>
        <w:tabs>
          <w:tab w:val="left" w:pos="541"/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È vietato introdurre nell</w:t>
      </w:r>
      <w:r w:rsidR="00AC0868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are</w:t>
      </w:r>
      <w:r w:rsidR="00AC0868">
        <w:rPr>
          <w:rFonts w:ascii="Times New Roman" w:hAnsi="Times New Roman" w:cs="Times New Roman"/>
          <w:sz w:val="24"/>
          <w:szCs w:val="24"/>
          <w:lang w:val="it-IT"/>
        </w:rPr>
        <w:t>a di sgambatura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 xml:space="preserve"> qualsiasi oggetto o elemento di arredo, se non</w:t>
      </w:r>
      <w:r w:rsidRPr="00570BAB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autorizzato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88E0E99" w14:textId="77777777" w:rsidR="003A3047" w:rsidRPr="00570BAB" w:rsidRDefault="0077478B" w:rsidP="0077478B">
      <w:pPr>
        <w:pStyle w:val="Titolo1"/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lang w:val="it-IT"/>
        </w:rPr>
      </w:pPr>
      <w:bookmarkStart w:id="7" w:name="_Toc51769732"/>
      <w:r w:rsidRPr="00570BAB">
        <w:rPr>
          <w:rFonts w:ascii="Times New Roman" w:hAnsi="Times New Roman" w:cs="Times New Roman"/>
          <w:lang w:val="it-IT"/>
        </w:rPr>
        <w:t xml:space="preserve">Art. </w:t>
      </w:r>
      <w:r w:rsidR="007D0ACC">
        <w:rPr>
          <w:rFonts w:ascii="Times New Roman" w:hAnsi="Times New Roman" w:cs="Times New Roman"/>
          <w:lang w:val="it-IT"/>
        </w:rPr>
        <w:t>5</w:t>
      </w:r>
      <w:r w:rsidRPr="00570BAB">
        <w:rPr>
          <w:rFonts w:ascii="Times New Roman" w:hAnsi="Times New Roman" w:cs="Times New Roman"/>
          <w:lang w:val="it-IT"/>
        </w:rPr>
        <w:t xml:space="preserve"> – Attività di vigilanza e sanzioni</w:t>
      </w:r>
      <w:bookmarkEnd w:id="7"/>
    </w:p>
    <w:p w14:paraId="4CD2CB70" w14:textId="77777777" w:rsidR="003A3047" w:rsidRPr="00570BAB" w:rsidRDefault="0077478B" w:rsidP="0077478B">
      <w:pPr>
        <w:pStyle w:val="Paragrafoelenco"/>
        <w:numPr>
          <w:ilvl w:val="0"/>
          <w:numId w:val="2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 xml:space="preserve">La funzione di vigilanza sull'utilizzo dell'area </w:t>
      </w:r>
      <w:r w:rsidR="00F1454E">
        <w:rPr>
          <w:rFonts w:ascii="Times New Roman" w:hAnsi="Times New Roman" w:cs="Times New Roman"/>
          <w:sz w:val="24"/>
          <w:szCs w:val="24"/>
          <w:lang w:val="it-IT"/>
        </w:rPr>
        <w:t xml:space="preserve">cani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 xml:space="preserve">è svolta dagli Ufficiali di Polizia </w:t>
      </w:r>
      <w:r w:rsidR="00570BAB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ocale</w:t>
      </w:r>
      <w:r w:rsidR="00570BA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DD368F2" w14:textId="77777777" w:rsidR="003A3047" w:rsidRPr="00570BAB" w:rsidRDefault="0077478B" w:rsidP="0077478B">
      <w:pPr>
        <w:pStyle w:val="Paragrafoelenco"/>
        <w:numPr>
          <w:ilvl w:val="0"/>
          <w:numId w:val="2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Ai sensi dell'art. 7 bis del D.Lgs. 267/2000 e del Capo I della Legge 689/1981, per le violazioni delle norme di cui al presente regolamento, se non punite più severamente in base ad altre norme legislative o regolamentari, fatte salve in ogni caso le disposizioni penali in materia, si applica la sanzione amministrativa da euro 25,00 a euro</w:t>
      </w:r>
      <w:r w:rsidRPr="00570BAB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500,00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26DDCE9" w14:textId="77777777" w:rsidR="003A3047" w:rsidRPr="00E13245" w:rsidRDefault="0077478B" w:rsidP="0077478B">
      <w:pPr>
        <w:pStyle w:val="Paragrafoelenco"/>
        <w:numPr>
          <w:ilvl w:val="0"/>
          <w:numId w:val="2"/>
        </w:numPr>
        <w:tabs>
          <w:tab w:val="left" w:pos="542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Le violazioni sono accertate in base alle disposizioni che disciplinano l’applicazione</w:t>
      </w:r>
      <w:r w:rsidR="00570BA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delle sanzioni amministrative</w:t>
      </w:r>
      <w:r w:rsidRPr="00570BA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comunali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BC0BE0D" w14:textId="77777777" w:rsidR="003A3047" w:rsidRPr="00E13245" w:rsidRDefault="0077478B" w:rsidP="0077478B">
      <w:pPr>
        <w:pStyle w:val="Titolo1"/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</w:rPr>
      </w:pPr>
      <w:bookmarkStart w:id="8" w:name="_Toc51769733"/>
      <w:r w:rsidRPr="00570BAB">
        <w:rPr>
          <w:rFonts w:ascii="Times New Roman" w:hAnsi="Times New Roman" w:cs="Times New Roman"/>
        </w:rPr>
        <w:t xml:space="preserve">Art. </w:t>
      </w:r>
      <w:r w:rsidR="007D0ACC">
        <w:rPr>
          <w:rFonts w:ascii="Times New Roman" w:hAnsi="Times New Roman" w:cs="Times New Roman"/>
        </w:rPr>
        <w:t>6</w:t>
      </w:r>
      <w:r w:rsidRPr="00570BAB">
        <w:rPr>
          <w:rFonts w:ascii="Times New Roman" w:hAnsi="Times New Roman" w:cs="Times New Roman"/>
        </w:rPr>
        <w:t xml:space="preserve"> – Entrata in vigore</w:t>
      </w:r>
      <w:bookmarkEnd w:id="8"/>
    </w:p>
    <w:p w14:paraId="7C479F4F" w14:textId="77777777" w:rsidR="003A3047" w:rsidRPr="00570BAB" w:rsidRDefault="0077478B" w:rsidP="0077478B">
      <w:pPr>
        <w:pStyle w:val="Paragrafoelenco"/>
        <w:numPr>
          <w:ilvl w:val="0"/>
          <w:numId w:val="1"/>
        </w:numPr>
        <w:tabs>
          <w:tab w:val="left" w:pos="476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Il presente regolamento entra in vigore dopo le pubblicazioni previste dalle vigenti norme di</w:t>
      </w:r>
      <w:r w:rsidRPr="00570BAB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legge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2B78871" w14:textId="77777777" w:rsidR="003A3047" w:rsidRPr="00570BAB" w:rsidRDefault="0077478B" w:rsidP="0077478B">
      <w:pPr>
        <w:pStyle w:val="Paragrafoelenco"/>
        <w:numPr>
          <w:ilvl w:val="0"/>
          <w:numId w:val="1"/>
        </w:numPr>
        <w:tabs>
          <w:tab w:val="left" w:pos="476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Dalla data di entrata in vigore del presente regolamento si intendono abrogate tutte le disposizioni con esso</w:t>
      </w:r>
      <w:r w:rsidRPr="00570BAB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contrastanti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FA42E0" w14:textId="77777777" w:rsidR="00E13245" w:rsidRPr="00113CEA" w:rsidRDefault="0077478B" w:rsidP="00113CEA">
      <w:pPr>
        <w:pStyle w:val="Paragrafoelenco"/>
        <w:numPr>
          <w:ilvl w:val="0"/>
          <w:numId w:val="1"/>
        </w:numPr>
        <w:tabs>
          <w:tab w:val="left" w:pos="476"/>
        </w:tabs>
        <w:spacing w:before="100" w:beforeAutospacing="1" w:after="100" w:afterAutospacing="1" w:line="360" w:lineRule="auto"/>
        <w:ind w:right="13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70BAB">
        <w:rPr>
          <w:rFonts w:ascii="Times New Roman" w:hAnsi="Times New Roman" w:cs="Times New Roman"/>
          <w:sz w:val="24"/>
          <w:szCs w:val="24"/>
          <w:lang w:val="it-IT"/>
        </w:rPr>
        <w:t>Per quanto non espressamente specificato dal presente Regolamento si rimanda alla normativa vigente ed alle ordinanze</w:t>
      </w:r>
      <w:r w:rsidRPr="00570BAB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70BAB">
        <w:rPr>
          <w:rFonts w:ascii="Times New Roman" w:hAnsi="Times New Roman" w:cs="Times New Roman"/>
          <w:sz w:val="24"/>
          <w:szCs w:val="24"/>
          <w:lang w:val="it-IT"/>
        </w:rPr>
        <w:t>comunali.</w:t>
      </w:r>
    </w:p>
    <w:sectPr w:rsidR="00E13245" w:rsidRPr="00113CEA" w:rsidSect="00B86A8E">
      <w:pgSz w:w="12240" w:h="15840"/>
      <w:pgMar w:top="1134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61B5" w14:textId="77777777" w:rsidR="00B86A8E" w:rsidRDefault="00B86A8E" w:rsidP="00B86A8E">
      <w:r>
        <w:separator/>
      </w:r>
    </w:p>
  </w:endnote>
  <w:endnote w:type="continuationSeparator" w:id="0">
    <w:p w14:paraId="3F851F0C" w14:textId="77777777" w:rsidR="00B86A8E" w:rsidRDefault="00B86A8E" w:rsidP="00B8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4D76" w14:textId="77777777" w:rsidR="00B86A8E" w:rsidRDefault="00B86A8E" w:rsidP="00B86A8E">
      <w:r>
        <w:separator/>
      </w:r>
    </w:p>
  </w:footnote>
  <w:footnote w:type="continuationSeparator" w:id="0">
    <w:p w14:paraId="6DB980B7" w14:textId="77777777" w:rsidR="00B86A8E" w:rsidRDefault="00B86A8E" w:rsidP="00B8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73C8"/>
    <w:multiLevelType w:val="hybridMultilevel"/>
    <w:tmpl w:val="F9B41DEA"/>
    <w:lvl w:ilvl="0" w:tplc="04100017">
      <w:start w:val="1"/>
      <w:numFmt w:val="lowerLetter"/>
      <w:lvlText w:val="%1)"/>
      <w:lvlJc w:val="left"/>
      <w:pPr>
        <w:ind w:left="542" w:hanging="426"/>
        <w:jc w:val="left"/>
      </w:pPr>
      <w:rPr>
        <w:rFonts w:hint="default"/>
        <w:spacing w:val="-30"/>
        <w:w w:val="100"/>
        <w:sz w:val="24"/>
        <w:szCs w:val="24"/>
      </w:rPr>
    </w:lvl>
    <w:lvl w:ilvl="1" w:tplc="E1C00F00">
      <w:numFmt w:val="bullet"/>
      <w:lvlText w:val="•"/>
      <w:lvlJc w:val="left"/>
      <w:pPr>
        <w:ind w:left="1506" w:hanging="426"/>
      </w:pPr>
      <w:rPr>
        <w:rFonts w:hint="default"/>
      </w:rPr>
    </w:lvl>
    <w:lvl w:ilvl="2" w:tplc="BD4C8E22">
      <w:numFmt w:val="bullet"/>
      <w:lvlText w:val="•"/>
      <w:lvlJc w:val="left"/>
      <w:pPr>
        <w:ind w:left="2472" w:hanging="426"/>
      </w:pPr>
      <w:rPr>
        <w:rFonts w:hint="default"/>
      </w:rPr>
    </w:lvl>
    <w:lvl w:ilvl="3" w:tplc="1B8E856A">
      <w:numFmt w:val="bullet"/>
      <w:lvlText w:val="•"/>
      <w:lvlJc w:val="left"/>
      <w:pPr>
        <w:ind w:left="3438" w:hanging="426"/>
      </w:pPr>
      <w:rPr>
        <w:rFonts w:hint="default"/>
      </w:rPr>
    </w:lvl>
    <w:lvl w:ilvl="4" w:tplc="C1322302">
      <w:numFmt w:val="bullet"/>
      <w:lvlText w:val="•"/>
      <w:lvlJc w:val="left"/>
      <w:pPr>
        <w:ind w:left="4404" w:hanging="426"/>
      </w:pPr>
      <w:rPr>
        <w:rFonts w:hint="default"/>
      </w:rPr>
    </w:lvl>
    <w:lvl w:ilvl="5" w:tplc="6AF6E584">
      <w:numFmt w:val="bullet"/>
      <w:lvlText w:val="•"/>
      <w:lvlJc w:val="left"/>
      <w:pPr>
        <w:ind w:left="5370" w:hanging="426"/>
      </w:pPr>
      <w:rPr>
        <w:rFonts w:hint="default"/>
      </w:rPr>
    </w:lvl>
    <w:lvl w:ilvl="6" w:tplc="B76AFCE2">
      <w:numFmt w:val="bullet"/>
      <w:lvlText w:val="•"/>
      <w:lvlJc w:val="left"/>
      <w:pPr>
        <w:ind w:left="6336" w:hanging="426"/>
      </w:pPr>
      <w:rPr>
        <w:rFonts w:hint="default"/>
      </w:rPr>
    </w:lvl>
    <w:lvl w:ilvl="7" w:tplc="FDFEB306">
      <w:numFmt w:val="bullet"/>
      <w:lvlText w:val="•"/>
      <w:lvlJc w:val="left"/>
      <w:pPr>
        <w:ind w:left="7302" w:hanging="426"/>
      </w:pPr>
      <w:rPr>
        <w:rFonts w:hint="default"/>
      </w:rPr>
    </w:lvl>
    <w:lvl w:ilvl="8" w:tplc="593847E0">
      <w:numFmt w:val="bullet"/>
      <w:lvlText w:val="•"/>
      <w:lvlJc w:val="left"/>
      <w:pPr>
        <w:ind w:left="8268" w:hanging="426"/>
      </w:pPr>
      <w:rPr>
        <w:rFonts w:hint="default"/>
      </w:rPr>
    </w:lvl>
  </w:abstractNum>
  <w:abstractNum w:abstractNumId="1" w15:restartNumberingAfterBreak="0">
    <w:nsid w:val="28557FCF"/>
    <w:multiLevelType w:val="hybridMultilevel"/>
    <w:tmpl w:val="E6F0360C"/>
    <w:lvl w:ilvl="0" w:tplc="04100017">
      <w:start w:val="1"/>
      <w:numFmt w:val="lowerLetter"/>
      <w:lvlText w:val="%1)"/>
      <w:lvlJc w:val="left"/>
      <w:pPr>
        <w:ind w:left="476" w:hanging="360"/>
        <w:jc w:val="left"/>
      </w:pPr>
      <w:rPr>
        <w:rFonts w:hint="default"/>
        <w:spacing w:val="-2"/>
        <w:w w:val="100"/>
        <w:sz w:val="24"/>
        <w:szCs w:val="24"/>
      </w:rPr>
    </w:lvl>
    <w:lvl w:ilvl="1" w:tplc="7AE05ED0"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B4EC323C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B2EA3E9E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A9CC9BD2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58285728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C70A99C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423674B6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022EEA10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2" w15:restartNumberingAfterBreak="0">
    <w:nsid w:val="56BC2F24"/>
    <w:multiLevelType w:val="hybridMultilevel"/>
    <w:tmpl w:val="ADB201F8"/>
    <w:lvl w:ilvl="0" w:tplc="04100017">
      <w:start w:val="1"/>
      <w:numFmt w:val="lowerLetter"/>
      <w:lvlText w:val="%1)"/>
      <w:lvlJc w:val="left"/>
      <w:pPr>
        <w:ind w:left="542" w:hanging="426"/>
        <w:jc w:val="left"/>
      </w:pPr>
      <w:rPr>
        <w:rFonts w:hint="default"/>
        <w:spacing w:val="-5"/>
        <w:w w:val="100"/>
        <w:sz w:val="24"/>
        <w:szCs w:val="24"/>
      </w:rPr>
    </w:lvl>
    <w:lvl w:ilvl="1" w:tplc="87124E2E">
      <w:numFmt w:val="bullet"/>
      <w:lvlText w:val="•"/>
      <w:lvlJc w:val="left"/>
      <w:pPr>
        <w:ind w:left="1506" w:hanging="426"/>
      </w:pPr>
      <w:rPr>
        <w:rFonts w:hint="default"/>
      </w:rPr>
    </w:lvl>
    <w:lvl w:ilvl="2" w:tplc="8D04589E">
      <w:numFmt w:val="bullet"/>
      <w:lvlText w:val="•"/>
      <w:lvlJc w:val="left"/>
      <w:pPr>
        <w:ind w:left="2472" w:hanging="426"/>
      </w:pPr>
      <w:rPr>
        <w:rFonts w:hint="default"/>
      </w:rPr>
    </w:lvl>
    <w:lvl w:ilvl="3" w:tplc="12A2404E">
      <w:numFmt w:val="bullet"/>
      <w:lvlText w:val="•"/>
      <w:lvlJc w:val="left"/>
      <w:pPr>
        <w:ind w:left="3438" w:hanging="426"/>
      </w:pPr>
      <w:rPr>
        <w:rFonts w:hint="default"/>
      </w:rPr>
    </w:lvl>
    <w:lvl w:ilvl="4" w:tplc="4AC82E92">
      <w:numFmt w:val="bullet"/>
      <w:lvlText w:val="•"/>
      <w:lvlJc w:val="left"/>
      <w:pPr>
        <w:ind w:left="4404" w:hanging="426"/>
      </w:pPr>
      <w:rPr>
        <w:rFonts w:hint="default"/>
      </w:rPr>
    </w:lvl>
    <w:lvl w:ilvl="5" w:tplc="0F440800">
      <w:numFmt w:val="bullet"/>
      <w:lvlText w:val="•"/>
      <w:lvlJc w:val="left"/>
      <w:pPr>
        <w:ind w:left="5370" w:hanging="426"/>
      </w:pPr>
      <w:rPr>
        <w:rFonts w:hint="default"/>
      </w:rPr>
    </w:lvl>
    <w:lvl w:ilvl="6" w:tplc="579455E6">
      <w:numFmt w:val="bullet"/>
      <w:lvlText w:val="•"/>
      <w:lvlJc w:val="left"/>
      <w:pPr>
        <w:ind w:left="6336" w:hanging="426"/>
      </w:pPr>
      <w:rPr>
        <w:rFonts w:hint="default"/>
      </w:rPr>
    </w:lvl>
    <w:lvl w:ilvl="7" w:tplc="EF1EE65C">
      <w:numFmt w:val="bullet"/>
      <w:lvlText w:val="•"/>
      <w:lvlJc w:val="left"/>
      <w:pPr>
        <w:ind w:left="7302" w:hanging="426"/>
      </w:pPr>
      <w:rPr>
        <w:rFonts w:hint="default"/>
      </w:rPr>
    </w:lvl>
    <w:lvl w:ilvl="8" w:tplc="E3E6828C">
      <w:numFmt w:val="bullet"/>
      <w:lvlText w:val="•"/>
      <w:lvlJc w:val="left"/>
      <w:pPr>
        <w:ind w:left="8268" w:hanging="426"/>
      </w:pPr>
      <w:rPr>
        <w:rFonts w:hint="default"/>
      </w:rPr>
    </w:lvl>
  </w:abstractNum>
  <w:abstractNum w:abstractNumId="3" w15:restartNumberingAfterBreak="0">
    <w:nsid w:val="57E00308"/>
    <w:multiLevelType w:val="hybridMultilevel"/>
    <w:tmpl w:val="E408CAE0"/>
    <w:lvl w:ilvl="0" w:tplc="04100017">
      <w:start w:val="1"/>
      <w:numFmt w:val="lowerLetter"/>
      <w:lvlText w:val="%1)"/>
      <w:lvlJc w:val="left"/>
      <w:pPr>
        <w:ind w:left="542" w:hanging="426"/>
        <w:jc w:val="left"/>
      </w:pPr>
      <w:rPr>
        <w:rFonts w:hint="default"/>
        <w:spacing w:val="-29"/>
        <w:w w:val="100"/>
      </w:rPr>
    </w:lvl>
    <w:lvl w:ilvl="1" w:tplc="EEACE754">
      <w:numFmt w:val="bullet"/>
      <w:lvlText w:val="•"/>
      <w:lvlJc w:val="left"/>
      <w:pPr>
        <w:ind w:left="1506" w:hanging="426"/>
      </w:pPr>
      <w:rPr>
        <w:rFonts w:hint="default"/>
      </w:rPr>
    </w:lvl>
    <w:lvl w:ilvl="2" w:tplc="08341918">
      <w:numFmt w:val="bullet"/>
      <w:lvlText w:val="•"/>
      <w:lvlJc w:val="left"/>
      <w:pPr>
        <w:ind w:left="2472" w:hanging="426"/>
      </w:pPr>
      <w:rPr>
        <w:rFonts w:hint="default"/>
      </w:rPr>
    </w:lvl>
    <w:lvl w:ilvl="3" w:tplc="01B03ED0">
      <w:numFmt w:val="bullet"/>
      <w:lvlText w:val="•"/>
      <w:lvlJc w:val="left"/>
      <w:pPr>
        <w:ind w:left="3438" w:hanging="426"/>
      </w:pPr>
      <w:rPr>
        <w:rFonts w:hint="default"/>
      </w:rPr>
    </w:lvl>
    <w:lvl w:ilvl="4" w:tplc="387445EC">
      <w:numFmt w:val="bullet"/>
      <w:lvlText w:val="•"/>
      <w:lvlJc w:val="left"/>
      <w:pPr>
        <w:ind w:left="4404" w:hanging="426"/>
      </w:pPr>
      <w:rPr>
        <w:rFonts w:hint="default"/>
      </w:rPr>
    </w:lvl>
    <w:lvl w:ilvl="5" w:tplc="D1ECEDCC">
      <w:numFmt w:val="bullet"/>
      <w:lvlText w:val="•"/>
      <w:lvlJc w:val="left"/>
      <w:pPr>
        <w:ind w:left="5370" w:hanging="426"/>
      </w:pPr>
      <w:rPr>
        <w:rFonts w:hint="default"/>
      </w:rPr>
    </w:lvl>
    <w:lvl w:ilvl="6" w:tplc="5E46F8A2">
      <w:numFmt w:val="bullet"/>
      <w:lvlText w:val="•"/>
      <w:lvlJc w:val="left"/>
      <w:pPr>
        <w:ind w:left="6336" w:hanging="426"/>
      </w:pPr>
      <w:rPr>
        <w:rFonts w:hint="default"/>
      </w:rPr>
    </w:lvl>
    <w:lvl w:ilvl="7" w:tplc="E5E40D0A">
      <w:numFmt w:val="bullet"/>
      <w:lvlText w:val="•"/>
      <w:lvlJc w:val="left"/>
      <w:pPr>
        <w:ind w:left="7302" w:hanging="426"/>
      </w:pPr>
      <w:rPr>
        <w:rFonts w:hint="default"/>
      </w:rPr>
    </w:lvl>
    <w:lvl w:ilvl="8" w:tplc="7AD22EF6">
      <w:numFmt w:val="bullet"/>
      <w:lvlText w:val="•"/>
      <w:lvlJc w:val="left"/>
      <w:pPr>
        <w:ind w:left="8268" w:hanging="426"/>
      </w:pPr>
      <w:rPr>
        <w:rFonts w:hint="default"/>
      </w:rPr>
    </w:lvl>
  </w:abstractNum>
  <w:abstractNum w:abstractNumId="4" w15:restartNumberingAfterBreak="0">
    <w:nsid w:val="598D37C9"/>
    <w:multiLevelType w:val="hybridMultilevel"/>
    <w:tmpl w:val="A51499F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6020AEB"/>
    <w:multiLevelType w:val="hybridMultilevel"/>
    <w:tmpl w:val="2DF437FE"/>
    <w:lvl w:ilvl="0" w:tplc="610A1BDC">
      <w:start w:val="1"/>
      <w:numFmt w:val="lowerLetter"/>
      <w:lvlText w:val="%1)"/>
      <w:lvlJc w:val="left"/>
      <w:pPr>
        <w:ind w:left="542" w:hanging="426"/>
        <w:jc w:val="left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21BEFA8E">
      <w:numFmt w:val="bullet"/>
      <w:lvlText w:val="•"/>
      <w:lvlJc w:val="left"/>
      <w:pPr>
        <w:ind w:left="1506" w:hanging="426"/>
      </w:pPr>
      <w:rPr>
        <w:rFonts w:hint="default"/>
      </w:rPr>
    </w:lvl>
    <w:lvl w:ilvl="2" w:tplc="CFD6CE50">
      <w:numFmt w:val="bullet"/>
      <w:lvlText w:val="•"/>
      <w:lvlJc w:val="left"/>
      <w:pPr>
        <w:ind w:left="2472" w:hanging="426"/>
      </w:pPr>
      <w:rPr>
        <w:rFonts w:hint="default"/>
      </w:rPr>
    </w:lvl>
    <w:lvl w:ilvl="3" w:tplc="54ACB0EE">
      <w:numFmt w:val="bullet"/>
      <w:lvlText w:val="•"/>
      <w:lvlJc w:val="left"/>
      <w:pPr>
        <w:ind w:left="3438" w:hanging="426"/>
      </w:pPr>
      <w:rPr>
        <w:rFonts w:hint="default"/>
      </w:rPr>
    </w:lvl>
    <w:lvl w:ilvl="4" w:tplc="4F90E0E6">
      <w:numFmt w:val="bullet"/>
      <w:lvlText w:val="•"/>
      <w:lvlJc w:val="left"/>
      <w:pPr>
        <w:ind w:left="4404" w:hanging="426"/>
      </w:pPr>
      <w:rPr>
        <w:rFonts w:hint="default"/>
      </w:rPr>
    </w:lvl>
    <w:lvl w:ilvl="5" w:tplc="6B40CD92">
      <w:numFmt w:val="bullet"/>
      <w:lvlText w:val="•"/>
      <w:lvlJc w:val="left"/>
      <w:pPr>
        <w:ind w:left="5370" w:hanging="426"/>
      </w:pPr>
      <w:rPr>
        <w:rFonts w:hint="default"/>
      </w:rPr>
    </w:lvl>
    <w:lvl w:ilvl="6" w:tplc="CEC88CAA">
      <w:numFmt w:val="bullet"/>
      <w:lvlText w:val="•"/>
      <w:lvlJc w:val="left"/>
      <w:pPr>
        <w:ind w:left="6336" w:hanging="426"/>
      </w:pPr>
      <w:rPr>
        <w:rFonts w:hint="default"/>
      </w:rPr>
    </w:lvl>
    <w:lvl w:ilvl="7" w:tplc="BDBA2470">
      <w:numFmt w:val="bullet"/>
      <w:lvlText w:val="•"/>
      <w:lvlJc w:val="left"/>
      <w:pPr>
        <w:ind w:left="7302" w:hanging="426"/>
      </w:pPr>
      <w:rPr>
        <w:rFonts w:hint="default"/>
      </w:rPr>
    </w:lvl>
    <w:lvl w:ilvl="8" w:tplc="1FDEE462">
      <w:numFmt w:val="bullet"/>
      <w:lvlText w:val="•"/>
      <w:lvlJc w:val="left"/>
      <w:pPr>
        <w:ind w:left="8268" w:hanging="42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47"/>
    <w:rsid w:val="00022DE1"/>
    <w:rsid w:val="00052F5A"/>
    <w:rsid w:val="00113CEA"/>
    <w:rsid w:val="001932A6"/>
    <w:rsid w:val="001B07A4"/>
    <w:rsid w:val="0022408D"/>
    <w:rsid w:val="003A3047"/>
    <w:rsid w:val="004837A5"/>
    <w:rsid w:val="004C4A79"/>
    <w:rsid w:val="00570BAB"/>
    <w:rsid w:val="005C46C8"/>
    <w:rsid w:val="006269E5"/>
    <w:rsid w:val="00660976"/>
    <w:rsid w:val="0077478B"/>
    <w:rsid w:val="007D0ACC"/>
    <w:rsid w:val="00801949"/>
    <w:rsid w:val="00A92560"/>
    <w:rsid w:val="00AC0868"/>
    <w:rsid w:val="00B55598"/>
    <w:rsid w:val="00B86A8E"/>
    <w:rsid w:val="00CB5115"/>
    <w:rsid w:val="00E13245"/>
    <w:rsid w:val="00F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7ACC"/>
  <w15:docId w15:val="{7447394E-ECB6-4B99-97C8-07DED4F8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2" w:hanging="426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2" w:right="126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B86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A8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86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A8E"/>
    <w:rPr>
      <w:rFonts w:ascii="Arial" w:eastAsia="Arial" w:hAnsi="Arial" w:cs="Arial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5C46C8"/>
    <w:pPr>
      <w:widowControl/>
      <w:autoSpaceDE/>
      <w:autoSpaceDN/>
      <w:spacing w:after="160" w:line="240" w:lineRule="exact"/>
      <w:jc w:val="both"/>
    </w:pPr>
    <w:rPr>
      <w:rFonts w:ascii="Tahoma" w:eastAsia="Times New Roman" w:hAnsi="Tahoma" w:cs="Times New Roman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C46C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C46C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C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>REGOLAMENTO D’USO DELLE AREE DI SGAMBATURA CANI</vt:lpstr>
      <vt:lpstr>Art. 1 – Oggetto del Regolamento</vt:lpstr>
      <vt:lpstr>Art. 2 – Principi generali </vt:lpstr>
      <vt:lpstr>Art. 3 – Obblighi </vt:lpstr>
      <vt:lpstr>Art. 4 – Divieti</vt:lpstr>
      <vt:lpstr>Art. 5 – Attività di vigilanza e sanzioni</vt:lpstr>
      <vt:lpstr>Art. 6 – Entrata in vigore</vt:lpstr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D’USO DELLE AREE DI SGAMBATURA CANI</dc:title>
  <dc:creator>Schiesaro, Daniel</dc:creator>
  <cp:lastModifiedBy>Riva Elena</cp:lastModifiedBy>
  <cp:revision>3</cp:revision>
  <cp:lastPrinted>2018-05-03T11:10:00Z</cp:lastPrinted>
  <dcterms:created xsi:type="dcterms:W3CDTF">2021-03-10T12:46:00Z</dcterms:created>
  <dcterms:modified xsi:type="dcterms:W3CDTF">2021-03-10T12:48:00Z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2018-04-23T00:00:00Z</vt:filetime>
  </property>
</Properties>
</file>